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ind w:firstLine="0" w:firstLine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附件1</w:t>
      </w:r>
    </w:p>
    <w:p>
      <w:pPr>
        <w:spacing w:line="600" w:lineRule="exact"/>
        <w:ind w:firstLine="0" w:firstLineChars="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宜春职业技术学院</w:t>
      </w:r>
    </w:p>
    <w:p>
      <w:pPr>
        <w:spacing w:line="600" w:lineRule="exact"/>
        <w:ind w:firstLine="0" w:firstLineChars="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课程思政教育案例遴选工作方案</w:t>
      </w:r>
    </w:p>
    <w:p>
      <w:pPr>
        <w:ind w:firstLine="0" w:firstLineChars="0"/>
        <w:rPr>
          <w:rFonts w:ascii="仿宋_GB2312" w:hAnsi="仿宋" w:eastAsia="仿宋_GB2312"/>
          <w:sz w:val="32"/>
          <w:szCs w:val="32"/>
        </w:rPr>
      </w:pPr>
    </w:p>
    <w:p>
      <w:pPr>
        <w:ind w:firstLine="640"/>
        <w:rPr>
          <w:rFonts w:ascii="仿宋" w:hAnsi="仿宋" w:eastAsia="仿宋"/>
          <w:sz w:val="32"/>
          <w:szCs w:val="32"/>
        </w:rPr>
      </w:pPr>
      <w:r>
        <w:rPr>
          <w:rFonts w:hint="eastAsia" w:ascii="仿宋" w:hAnsi="仿宋" w:eastAsia="仿宋"/>
          <w:sz w:val="32"/>
          <w:szCs w:val="32"/>
        </w:rPr>
        <w:t>为深入贯彻全国高校思想政治工作会议精神，落实立德树人根本任务</w:t>
      </w:r>
      <w:r>
        <w:rPr>
          <w:rFonts w:hint="eastAsia" w:ascii="仿宋" w:hAnsi="仿宋" w:eastAsia="仿宋"/>
        </w:rPr>
        <w:t>，</w:t>
      </w:r>
      <w:r>
        <w:rPr>
          <w:rFonts w:hint="eastAsia" w:ascii="仿宋" w:hAnsi="仿宋" w:eastAsia="仿宋"/>
          <w:sz w:val="32"/>
          <w:szCs w:val="32"/>
        </w:rPr>
        <w:t>发挥好每门课程的育人作用，提炼一系列可推广的课程思政教育教学改革典型经验和特色做法，加快推进学校课程思政建设，根据教育部《高等学校课程思政建设指导纲要》（教高〔2020〕3号）《江西高校课程思政建设工作方案》（赣教社政字〔2020〕18号）和《宜春职业技术学院课程思政建设实施方案》（宜职字〔2020〕148号）相关要求，结合学校工作实际，特制定本工作方案。</w:t>
      </w:r>
    </w:p>
    <w:p>
      <w:pPr>
        <w:ind w:firstLine="643"/>
        <w:rPr>
          <w:rFonts w:ascii="仿宋" w:hAnsi="仿宋" w:eastAsia="仿宋"/>
          <w:sz w:val="32"/>
          <w:szCs w:val="32"/>
        </w:rPr>
      </w:pPr>
      <w:r>
        <w:rPr>
          <w:rFonts w:hint="eastAsia" w:ascii="仿宋" w:hAnsi="仿宋" w:eastAsia="仿宋"/>
          <w:b/>
          <w:bCs/>
          <w:sz w:val="32"/>
          <w:szCs w:val="32"/>
        </w:rPr>
        <w:t>一、指导思想</w:t>
      </w:r>
    </w:p>
    <w:p>
      <w:pPr>
        <w:ind w:firstLine="640"/>
        <w:rPr>
          <w:rFonts w:ascii="仿宋" w:hAnsi="仿宋" w:eastAsia="仿宋"/>
        </w:rPr>
      </w:pPr>
      <w:r>
        <w:rPr>
          <w:rFonts w:hint="eastAsia" w:ascii="仿宋" w:hAnsi="仿宋" w:eastAsia="仿宋" w:cs="宋体"/>
          <w:color w:val="000000"/>
          <w:kern w:val="0"/>
          <w:sz w:val="32"/>
          <w:szCs w:val="32"/>
        </w:rPr>
        <w:t>以习近平新时代中国特色社会主义思想为指导，深入贯彻习近平总书记关于教育的重要论述和全国高校思想政治工作会议精神，坚持以立德树人为根本，深入挖掘各类课程所蕴含的思想政治教育元素和承载的思想政治教育功能，把价值观引导寓于知识传授和能力培养之中，构建全员、全过程、全方位育人的思政育人格局，培养全面发展的新时代中国特色社会主义建设者和接班人。</w:t>
      </w:r>
    </w:p>
    <w:p>
      <w:pPr>
        <w:ind w:firstLine="643"/>
        <w:rPr>
          <w:rFonts w:ascii="仿宋" w:hAnsi="仿宋" w:eastAsia="仿宋"/>
          <w:sz w:val="32"/>
          <w:szCs w:val="32"/>
        </w:rPr>
      </w:pPr>
      <w:r>
        <w:rPr>
          <w:rFonts w:hint="eastAsia" w:ascii="仿宋" w:hAnsi="仿宋" w:eastAsia="仿宋"/>
          <w:b/>
          <w:bCs/>
          <w:sz w:val="32"/>
          <w:szCs w:val="32"/>
        </w:rPr>
        <w:t>二、工作目标</w:t>
      </w:r>
    </w:p>
    <w:p>
      <w:pPr>
        <w:widowControl/>
        <w:ind w:firstLine="640"/>
        <w:jc w:val="left"/>
        <w:rPr>
          <w:rFonts w:ascii="仿宋" w:hAnsi="仿宋" w:eastAsia="仿宋"/>
          <w:sz w:val="32"/>
          <w:szCs w:val="32"/>
        </w:rPr>
      </w:pPr>
      <w:r>
        <w:rPr>
          <w:rFonts w:hint="eastAsia" w:ascii="仿宋" w:hAnsi="仿宋" w:eastAsia="仿宋"/>
          <w:sz w:val="32"/>
          <w:szCs w:val="32"/>
        </w:rPr>
        <w:t>通过每年遴</w:t>
      </w:r>
      <w:r>
        <w:rPr>
          <w:rFonts w:hint="eastAsia" w:ascii="仿宋" w:hAnsi="仿宋" w:eastAsia="仿宋"/>
          <w:sz w:val="32"/>
          <w:szCs w:val="32"/>
          <w:highlight w:val="none"/>
        </w:rPr>
        <w:t>选20个左</w:t>
      </w:r>
      <w:r>
        <w:rPr>
          <w:rFonts w:hint="eastAsia" w:ascii="仿宋" w:hAnsi="仿宋" w:eastAsia="仿宋"/>
          <w:sz w:val="32"/>
          <w:szCs w:val="32"/>
        </w:rPr>
        <w:t>右课程思政教育优秀案例，逐步深化学校课程思政教学改革，培育</w:t>
      </w:r>
      <w:r>
        <w:rPr>
          <w:rFonts w:hint="eastAsia" w:ascii="仿宋" w:hAnsi="仿宋" w:eastAsia="仿宋" w:cs="宋体"/>
          <w:color w:val="000000"/>
          <w:kern w:val="0"/>
          <w:sz w:val="32"/>
          <w:szCs w:val="32"/>
        </w:rPr>
        <w:t>一批具有影响力的课程思政教学团队和</w:t>
      </w:r>
      <w:r>
        <w:rPr>
          <w:rFonts w:hint="eastAsia" w:ascii="仿宋" w:hAnsi="仿宋" w:eastAsia="仿宋"/>
          <w:sz w:val="32"/>
          <w:szCs w:val="32"/>
        </w:rPr>
        <w:t>课程思政教学示范成果，</w:t>
      </w:r>
      <w:r>
        <w:rPr>
          <w:rFonts w:hint="eastAsia" w:ascii="仿宋" w:hAnsi="仿宋" w:eastAsia="仿宋" w:cs="宋体"/>
          <w:color w:val="000000"/>
          <w:kern w:val="0"/>
          <w:sz w:val="32"/>
          <w:szCs w:val="32"/>
        </w:rPr>
        <w:t>打造丰富完善的课程思政教育教学案例库，提炼一系列可推广的课程思政教育教学改革典型经验和特色做法，</w:t>
      </w:r>
      <w:r>
        <w:rPr>
          <w:rFonts w:hint="eastAsia" w:ascii="仿宋" w:hAnsi="仿宋" w:eastAsia="仿宋"/>
          <w:sz w:val="32"/>
          <w:szCs w:val="32"/>
        </w:rPr>
        <w:t>探索课程教学与思政育人相统一，知识传授、能力培养与价值塑造相融合的新方法和新途径，构建科学合理的课程思政教学体系，为提升课程思政育人实效提供参考借鉴，形成全校广泛开展课程思政的良好氛围，构建各类课程与思政课程的协同育人格局。</w:t>
      </w:r>
    </w:p>
    <w:p>
      <w:pPr>
        <w:widowControl/>
        <w:ind w:firstLine="643"/>
        <w:jc w:val="left"/>
        <w:rPr>
          <w:rFonts w:ascii="仿宋" w:hAnsi="仿宋" w:eastAsia="仿宋"/>
          <w:b/>
          <w:sz w:val="32"/>
          <w:szCs w:val="32"/>
        </w:rPr>
      </w:pPr>
      <w:r>
        <w:rPr>
          <w:rFonts w:hint="eastAsia" w:ascii="仿宋" w:hAnsi="仿宋" w:eastAsia="仿宋"/>
          <w:b/>
          <w:sz w:val="32"/>
          <w:szCs w:val="32"/>
        </w:rPr>
        <w:t>三、基本原则</w:t>
      </w:r>
    </w:p>
    <w:p>
      <w:pPr>
        <w:widowControl/>
        <w:ind w:firstLine="640"/>
        <w:jc w:val="left"/>
        <w:rPr>
          <w:rFonts w:hint="eastAsia" w:ascii="仿宋" w:hAnsi="仿宋" w:eastAsia="仿宋"/>
          <w:sz w:val="32"/>
          <w:szCs w:val="32"/>
        </w:rPr>
      </w:pPr>
      <w:r>
        <w:rPr>
          <w:rFonts w:hint="eastAsia" w:ascii="仿宋" w:hAnsi="仿宋" w:eastAsia="仿宋"/>
          <w:sz w:val="32"/>
          <w:szCs w:val="32"/>
        </w:rPr>
        <w:t>坚持立德树人，促进全面发展，落实德技并修育人机制。以爱党、爱国、爱社会主义、爱人民、爱集体为主线，紧紧围绕政治认同、家国情怀、文化素养、宪法法治意识、道德修养等主题，将专业能力、职业素养和工匠精神等融入课程教学内容，将赣鄱红色基因有机融入课程思政教育，彰显课程的价值属性，在价值传播中凝聚知识底蕴，在知识传播中强调价值引领。结合专业类别和课程类型，分类推进课程思政工作，建成一批具有职业教育特点、符合职业教育规律的课程思政教育优秀案例。</w:t>
      </w:r>
    </w:p>
    <w:p>
      <w:pPr>
        <w:widowControl/>
        <w:ind w:firstLine="643"/>
        <w:jc w:val="left"/>
        <w:rPr>
          <w:rFonts w:ascii="仿宋" w:hAnsi="仿宋" w:eastAsia="仿宋"/>
          <w:b/>
          <w:sz w:val="32"/>
          <w:szCs w:val="32"/>
        </w:rPr>
      </w:pPr>
      <w:r>
        <w:rPr>
          <w:rFonts w:hint="eastAsia" w:ascii="仿宋" w:hAnsi="仿宋" w:eastAsia="仿宋"/>
          <w:b/>
          <w:sz w:val="32"/>
          <w:szCs w:val="32"/>
        </w:rPr>
        <w:t>四、</w:t>
      </w:r>
      <w:r>
        <w:rPr>
          <w:rFonts w:hint="eastAsia" w:ascii="仿宋" w:hAnsi="仿宋" w:eastAsia="仿宋"/>
          <w:b/>
          <w:bCs/>
          <w:sz w:val="32"/>
          <w:szCs w:val="32"/>
        </w:rPr>
        <w:t>工作要求</w:t>
      </w:r>
    </w:p>
    <w:p>
      <w:pPr>
        <w:ind w:firstLine="643"/>
        <w:rPr>
          <w:rFonts w:ascii="仿宋" w:hAnsi="仿宋" w:eastAsia="仿宋"/>
          <w:b/>
          <w:sz w:val="32"/>
          <w:szCs w:val="32"/>
        </w:rPr>
      </w:pPr>
      <w:r>
        <w:rPr>
          <w:rFonts w:hint="eastAsia" w:ascii="仿宋" w:hAnsi="仿宋" w:eastAsia="仿宋"/>
          <w:b/>
          <w:sz w:val="32"/>
          <w:szCs w:val="32"/>
        </w:rPr>
        <w:t>（一）突出价值导向，实现示范引领</w:t>
      </w:r>
    </w:p>
    <w:p>
      <w:pPr>
        <w:ind w:firstLine="640"/>
        <w:rPr>
          <w:rFonts w:ascii="仿宋" w:hAnsi="仿宋" w:eastAsia="仿宋"/>
          <w:sz w:val="32"/>
          <w:szCs w:val="32"/>
        </w:rPr>
      </w:pPr>
      <w:r>
        <w:rPr>
          <w:rFonts w:hint="eastAsia" w:ascii="仿宋" w:hAnsi="仿宋" w:eastAsia="仿宋"/>
          <w:sz w:val="32"/>
          <w:szCs w:val="32"/>
        </w:rPr>
        <w:t>深入挖掘课程中所蕴涵的思政元素与承载的思政功能，深度融入劳动精神、劳模精神和工匠精神，深入挖掘赣鄱优秀文化资源，厚植家国情怀，传承赣鄱红色基因，将思想价值引领贯穿于教育教学全过程，实现价值性和知识性的统一，达到专业知识与思政元素深度融合。</w:t>
      </w:r>
    </w:p>
    <w:p>
      <w:pPr>
        <w:ind w:firstLine="643"/>
        <w:rPr>
          <w:rFonts w:ascii="仿宋" w:hAnsi="仿宋" w:eastAsia="仿宋"/>
          <w:b/>
          <w:sz w:val="32"/>
          <w:szCs w:val="32"/>
        </w:rPr>
      </w:pPr>
      <w:r>
        <w:rPr>
          <w:rFonts w:hint="eastAsia" w:ascii="仿宋" w:hAnsi="仿宋" w:eastAsia="仿宋"/>
          <w:b/>
          <w:sz w:val="32"/>
          <w:szCs w:val="32"/>
        </w:rPr>
        <w:t>（二）创新方法途径，提升育人实效</w:t>
      </w:r>
    </w:p>
    <w:p>
      <w:pPr>
        <w:ind w:firstLine="640"/>
        <w:rPr>
          <w:rFonts w:ascii="仿宋" w:hAnsi="仿宋" w:eastAsia="仿宋"/>
          <w:b/>
          <w:bCs/>
          <w:sz w:val="32"/>
          <w:szCs w:val="32"/>
        </w:rPr>
      </w:pPr>
      <w:r>
        <w:rPr>
          <w:rFonts w:hint="eastAsia" w:ascii="仿宋" w:hAnsi="仿宋" w:eastAsia="仿宋"/>
          <w:sz w:val="32"/>
          <w:szCs w:val="32"/>
        </w:rPr>
        <w:t>坚持“以学生为中心”的教育理念，探索适合本课程的课程思政支撑载体，拓展课程思政育人的方法和途径，把握学生的学习特点和发展需求，综合运用现代化信息技术手段丰富教学形式，注重参与式和互动式教学方法的灵活运用，促进学生主动学习。</w:t>
      </w:r>
    </w:p>
    <w:p>
      <w:pPr>
        <w:ind w:firstLine="643"/>
        <w:rPr>
          <w:rFonts w:ascii="仿宋" w:hAnsi="仿宋" w:eastAsia="仿宋"/>
          <w:sz w:val="32"/>
          <w:szCs w:val="32"/>
        </w:rPr>
      </w:pPr>
      <w:r>
        <w:rPr>
          <w:rFonts w:hint="eastAsia" w:ascii="仿宋" w:hAnsi="仿宋" w:eastAsia="仿宋"/>
          <w:b/>
          <w:sz w:val="32"/>
          <w:szCs w:val="32"/>
        </w:rPr>
        <w:t>（三）体现职教特色，推广经验做法</w:t>
      </w:r>
    </w:p>
    <w:p>
      <w:pPr>
        <w:ind w:firstLine="640"/>
        <w:rPr>
          <w:rFonts w:ascii="仿宋" w:hAnsi="仿宋" w:eastAsia="仿宋"/>
          <w:sz w:val="32"/>
          <w:szCs w:val="32"/>
        </w:rPr>
      </w:pPr>
      <w:r>
        <w:rPr>
          <w:rFonts w:hint="eastAsia" w:ascii="仿宋" w:hAnsi="仿宋" w:eastAsia="仿宋"/>
          <w:sz w:val="32"/>
          <w:szCs w:val="32"/>
        </w:rPr>
        <w:t>围绕课程内容与教学实际，从开展思政育人的现实意义、具体措施、教学效果和特色创新等方面总结课程思政教育的先进经验和特色做法，典型案例符合职业教育规律，体现职业教育特点，有明确的课程思政教学目标，突出价值引领，具有较强的针对性、时效性、创新性、示范性和推广性。</w:t>
      </w:r>
    </w:p>
    <w:p>
      <w:pPr>
        <w:spacing w:line="360" w:lineRule="auto"/>
        <w:ind w:firstLine="643"/>
        <w:rPr>
          <w:rFonts w:ascii="仿宋" w:hAnsi="仿宋" w:eastAsia="仿宋"/>
          <w:b/>
          <w:bCs/>
          <w:sz w:val="32"/>
          <w:szCs w:val="32"/>
        </w:rPr>
      </w:pPr>
      <w:r>
        <w:rPr>
          <w:rFonts w:hint="eastAsia" w:ascii="仿宋" w:hAnsi="仿宋" w:eastAsia="仿宋"/>
          <w:b/>
          <w:bCs/>
          <w:sz w:val="32"/>
          <w:szCs w:val="32"/>
        </w:rPr>
        <w:t>五、工作计划与进度安排</w:t>
      </w:r>
    </w:p>
    <w:p>
      <w:pPr>
        <w:spacing w:line="360" w:lineRule="auto"/>
        <w:ind w:firstLine="643"/>
        <w:rPr>
          <w:rFonts w:ascii="仿宋" w:hAnsi="仿宋" w:eastAsia="仿宋"/>
          <w:b/>
          <w:sz w:val="32"/>
          <w:szCs w:val="32"/>
        </w:rPr>
      </w:pPr>
      <w:r>
        <w:rPr>
          <w:rFonts w:hint="eastAsia" w:ascii="仿宋" w:hAnsi="仿宋" w:eastAsia="仿宋"/>
          <w:b/>
          <w:sz w:val="32"/>
          <w:szCs w:val="32"/>
        </w:rPr>
        <w:t>（一）第一阶段（2021.01—2021.12）</w:t>
      </w:r>
    </w:p>
    <w:p>
      <w:pPr>
        <w:spacing w:line="360" w:lineRule="auto"/>
        <w:ind w:firstLine="640"/>
        <w:rPr>
          <w:rFonts w:ascii="仿宋" w:hAnsi="仿宋" w:eastAsia="仿宋"/>
          <w:color w:val="000000"/>
          <w:sz w:val="32"/>
          <w:szCs w:val="32"/>
        </w:rPr>
      </w:pPr>
      <w:r>
        <w:rPr>
          <w:rFonts w:hint="eastAsia" w:ascii="仿宋" w:hAnsi="仿宋" w:eastAsia="仿宋"/>
          <w:sz w:val="32"/>
          <w:szCs w:val="32"/>
        </w:rPr>
        <w:t>根据《关于承接&lt;职业教育提质培优行动计划（2020-2023年）任务（项目）的通知&gt;》（教职成司函〔2020〕32号）和《宜春职业技术学院提质创优实施方案》（宜职字〔2020〕104号）文件要求，学校</w:t>
      </w:r>
      <w:r>
        <w:rPr>
          <w:rFonts w:hint="eastAsia" w:ascii="仿宋" w:hAnsi="仿宋" w:eastAsia="仿宋"/>
          <w:color w:val="000000"/>
          <w:sz w:val="32"/>
          <w:szCs w:val="32"/>
        </w:rPr>
        <w:t>课程思政建设工作领导小组负责部署和推进课程思政教育的各项工作，在集思广益和充分论证的基础上，制定学校课程思政教育案例遴选工作方案。各院、部通过各种形式进行广泛动员和宣传，号召全体教师进一步深入开展课程思政教学改革工作，提炼有效经验和特色做法，形成课程思政教育典型案例。</w:t>
      </w:r>
    </w:p>
    <w:p>
      <w:pPr>
        <w:spacing w:line="360" w:lineRule="auto"/>
        <w:ind w:firstLine="643"/>
        <w:rPr>
          <w:rFonts w:ascii="仿宋" w:hAnsi="仿宋" w:eastAsia="仿宋"/>
          <w:b/>
          <w:sz w:val="32"/>
          <w:szCs w:val="32"/>
        </w:rPr>
      </w:pPr>
      <w:r>
        <w:rPr>
          <w:rFonts w:hint="eastAsia" w:ascii="仿宋" w:hAnsi="仿宋" w:eastAsia="仿宋"/>
          <w:b/>
          <w:sz w:val="32"/>
          <w:szCs w:val="32"/>
        </w:rPr>
        <w:t>（二）第二阶段（2022.01—2022.12）</w:t>
      </w:r>
    </w:p>
    <w:p>
      <w:pPr>
        <w:spacing w:line="360" w:lineRule="auto"/>
        <w:ind w:firstLine="640"/>
        <w:rPr>
          <w:rFonts w:ascii="仿宋" w:hAnsi="仿宋" w:eastAsia="仿宋"/>
          <w:color w:val="000000"/>
          <w:sz w:val="32"/>
          <w:szCs w:val="32"/>
        </w:rPr>
      </w:pPr>
      <w:r>
        <w:rPr>
          <w:rFonts w:hint="eastAsia" w:ascii="仿宋" w:hAnsi="仿宋" w:eastAsia="仿宋"/>
          <w:sz w:val="32"/>
          <w:szCs w:val="32"/>
        </w:rPr>
        <w:t>依据</w:t>
      </w:r>
      <w:r>
        <w:rPr>
          <w:rFonts w:hint="eastAsia" w:ascii="仿宋" w:hAnsi="仿宋" w:eastAsia="仿宋"/>
          <w:color w:val="000000"/>
          <w:sz w:val="32"/>
          <w:szCs w:val="32"/>
        </w:rPr>
        <w:t>课程思政教育案例遴选工作方案，开展首批课程思政教育案例遴选工作，在全校遴选20个典型案例，并择优上报省教育厅。对优秀案例组织开展教学展示活动，总结课程思政教育的有效方法和途径，提炼典型经验和特色做法，形成符合人才培养目标和课程教学特点的思政育人模式并进行推广运用。</w:t>
      </w:r>
    </w:p>
    <w:p>
      <w:pPr>
        <w:ind w:firstLine="643"/>
        <w:rPr>
          <w:rFonts w:ascii="仿宋" w:hAnsi="仿宋" w:eastAsia="仿宋"/>
          <w:b/>
          <w:color w:val="000000"/>
          <w:sz w:val="32"/>
          <w:szCs w:val="32"/>
        </w:rPr>
      </w:pPr>
      <w:r>
        <w:rPr>
          <w:rFonts w:hint="eastAsia" w:ascii="仿宋" w:hAnsi="仿宋" w:eastAsia="仿宋"/>
          <w:b/>
          <w:color w:val="000000"/>
          <w:sz w:val="32"/>
          <w:szCs w:val="32"/>
        </w:rPr>
        <w:t>（三）</w:t>
      </w:r>
      <w:r>
        <w:rPr>
          <w:rFonts w:hint="eastAsia" w:ascii="仿宋" w:hAnsi="仿宋" w:eastAsia="仿宋"/>
          <w:b/>
          <w:sz w:val="32"/>
          <w:szCs w:val="32"/>
        </w:rPr>
        <w:t>第三阶段（</w:t>
      </w:r>
      <w:r>
        <w:rPr>
          <w:rFonts w:hint="eastAsia" w:ascii="仿宋" w:hAnsi="仿宋" w:eastAsia="仿宋"/>
          <w:b/>
          <w:color w:val="000000"/>
          <w:sz w:val="32"/>
          <w:szCs w:val="32"/>
        </w:rPr>
        <w:t>2023.01—2023.12）</w:t>
      </w:r>
    </w:p>
    <w:p>
      <w:pPr>
        <w:ind w:firstLine="640"/>
        <w:rPr>
          <w:rFonts w:ascii="仿宋" w:hAnsi="仿宋" w:eastAsia="仿宋"/>
          <w:color w:val="000000"/>
          <w:sz w:val="32"/>
          <w:szCs w:val="32"/>
        </w:rPr>
      </w:pPr>
      <w:r>
        <w:rPr>
          <w:rFonts w:hint="eastAsia" w:ascii="仿宋" w:hAnsi="仿宋" w:eastAsia="仿宋"/>
          <w:color w:val="000000"/>
          <w:sz w:val="32"/>
          <w:szCs w:val="32"/>
        </w:rPr>
        <w:t>开展全校第二批课程思政教育案例遴选工作。组织课程思政教育案例成果展示活动，召开课程思政教育案例交流研讨会，总结不同课程思政育人的特色做法和有效经验。将已推广应用的优秀典型案例课程资源纳入学校课程思政教学资源库，实现优质资源共建共享。开辟课程思政教育专栏，宣传展示课程思政教育典型案例及经验做法，实现课程思政专业覆盖100%，课堂覆盖100%，所有课程都成为思想政治教育的主渠道。</w:t>
      </w:r>
    </w:p>
    <w:p>
      <w:pPr>
        <w:ind w:firstLine="643"/>
        <w:rPr>
          <w:rFonts w:ascii="仿宋" w:hAnsi="仿宋" w:eastAsia="仿宋"/>
          <w:b/>
          <w:color w:val="000000"/>
          <w:sz w:val="32"/>
          <w:szCs w:val="32"/>
        </w:rPr>
      </w:pPr>
      <w:r>
        <w:rPr>
          <w:rFonts w:hint="eastAsia" w:ascii="仿宋" w:hAnsi="仿宋" w:eastAsia="仿宋"/>
          <w:b/>
          <w:bCs/>
          <w:sz w:val="32"/>
          <w:szCs w:val="32"/>
        </w:rPr>
        <w:t>六、保障措施</w:t>
      </w:r>
    </w:p>
    <w:p>
      <w:pPr>
        <w:spacing w:line="360" w:lineRule="auto"/>
        <w:ind w:firstLine="643"/>
        <w:rPr>
          <w:rFonts w:ascii="仿宋" w:hAnsi="仿宋" w:eastAsia="仿宋"/>
          <w:b/>
          <w:color w:val="000000"/>
          <w:sz w:val="32"/>
          <w:szCs w:val="32"/>
        </w:rPr>
      </w:pPr>
      <w:r>
        <w:rPr>
          <w:rFonts w:hint="eastAsia" w:ascii="仿宋" w:hAnsi="仿宋" w:eastAsia="仿宋"/>
          <w:b/>
          <w:color w:val="000000"/>
          <w:sz w:val="32"/>
          <w:szCs w:val="32"/>
        </w:rPr>
        <w:t>（一）加强组织领导与协同联动</w:t>
      </w:r>
    </w:p>
    <w:p>
      <w:pPr>
        <w:spacing w:line="360" w:lineRule="auto"/>
        <w:ind w:firstLine="640"/>
        <w:rPr>
          <w:rFonts w:ascii="仿宋" w:hAnsi="仿宋" w:eastAsia="仿宋"/>
          <w:color w:val="000000"/>
          <w:sz w:val="32"/>
          <w:szCs w:val="32"/>
        </w:rPr>
      </w:pPr>
      <w:r>
        <w:rPr>
          <w:rFonts w:hint="eastAsia" w:ascii="仿宋" w:hAnsi="仿宋" w:eastAsia="仿宋"/>
          <w:color w:val="000000"/>
          <w:sz w:val="32"/>
          <w:szCs w:val="32"/>
        </w:rPr>
        <w:t>课程思政建设工作领导小组负责统筹推进和指导部署</w:t>
      </w:r>
      <w:r>
        <w:rPr>
          <w:rFonts w:hint="eastAsia" w:ascii="仿宋" w:hAnsi="仿宋" w:eastAsia="仿宋"/>
          <w:color w:val="000000"/>
          <w:sz w:val="32"/>
          <w:szCs w:val="32"/>
          <w:lang w:eastAsia="zh-CN"/>
        </w:rPr>
        <w:t>学校的</w:t>
      </w:r>
      <w:r>
        <w:rPr>
          <w:rFonts w:hint="eastAsia" w:ascii="仿宋" w:hAnsi="仿宋" w:eastAsia="仿宋"/>
          <w:color w:val="000000"/>
          <w:sz w:val="32"/>
          <w:szCs w:val="32"/>
        </w:rPr>
        <w:t>课程思政建设</w:t>
      </w:r>
      <w:r>
        <w:rPr>
          <w:rFonts w:hint="eastAsia" w:ascii="仿宋" w:hAnsi="仿宋" w:eastAsia="仿宋"/>
          <w:color w:val="000000"/>
          <w:sz w:val="32"/>
          <w:szCs w:val="32"/>
          <w:lang w:eastAsia="zh-CN"/>
        </w:rPr>
        <w:t>工作，</w:t>
      </w:r>
      <w:r>
        <w:rPr>
          <w:rFonts w:hint="eastAsia" w:ascii="仿宋" w:hAnsi="仿宋" w:eastAsia="仿宋"/>
          <w:color w:val="000000"/>
          <w:sz w:val="32"/>
          <w:szCs w:val="32"/>
        </w:rPr>
        <w:t>领导小组</w:t>
      </w:r>
      <w:r>
        <w:rPr>
          <w:rFonts w:hint="eastAsia" w:ascii="仿宋" w:hAnsi="仿宋" w:eastAsia="仿宋"/>
          <w:color w:val="000000"/>
          <w:sz w:val="32"/>
          <w:szCs w:val="32"/>
          <w:lang w:eastAsia="zh-CN"/>
        </w:rPr>
        <w:t>下设</w:t>
      </w:r>
      <w:r>
        <w:rPr>
          <w:rFonts w:hint="eastAsia" w:ascii="仿宋" w:hAnsi="仿宋" w:eastAsia="仿宋"/>
          <w:color w:val="000000"/>
          <w:sz w:val="32"/>
          <w:szCs w:val="32"/>
        </w:rPr>
        <w:t>办公室</w:t>
      </w:r>
      <w:r>
        <w:rPr>
          <w:rFonts w:hint="eastAsia" w:ascii="仿宋" w:hAnsi="仿宋" w:eastAsia="仿宋"/>
          <w:color w:val="000000"/>
          <w:sz w:val="32"/>
          <w:szCs w:val="32"/>
          <w:lang w:eastAsia="zh-CN"/>
        </w:rPr>
        <w:t>，由教务处</w:t>
      </w:r>
      <w:r>
        <w:rPr>
          <w:rFonts w:hint="eastAsia" w:ascii="仿宋" w:hAnsi="仿宋" w:eastAsia="仿宋"/>
          <w:color w:val="000000"/>
          <w:sz w:val="32"/>
          <w:szCs w:val="32"/>
        </w:rPr>
        <w:t>负责协调开展各项</w:t>
      </w:r>
      <w:r>
        <w:rPr>
          <w:rFonts w:hint="eastAsia" w:ascii="仿宋" w:hAnsi="仿宋" w:eastAsia="仿宋"/>
          <w:color w:val="000000"/>
          <w:sz w:val="32"/>
          <w:szCs w:val="32"/>
          <w:lang w:eastAsia="zh-CN"/>
        </w:rPr>
        <w:t>工作</w:t>
      </w:r>
      <w:r>
        <w:rPr>
          <w:rFonts w:hint="eastAsia" w:ascii="仿宋" w:hAnsi="仿宋" w:eastAsia="仿宋"/>
          <w:color w:val="000000"/>
          <w:sz w:val="32"/>
          <w:szCs w:val="32"/>
        </w:rPr>
        <w:t>。建立教务处、教学督导处、马克思主义学院、党委宣传部、学工处、团委等职能部门和二级学院协同联动的工作机制，确保课程思政教育教学工作的顺利推进与常态化运行，及时总结课程思政建设成果，</w:t>
      </w:r>
      <w:r>
        <w:rPr>
          <w:rFonts w:hint="eastAsia" w:ascii="仿宋_GB2312" w:eastAsia="仿宋_GB2312"/>
          <w:color w:val="000000" w:themeColor="text1"/>
          <w:sz w:val="32"/>
          <w:szCs w:val="32"/>
          <w14:textFill>
            <w14:solidFill>
              <w14:schemeClr w14:val="tx1"/>
            </w14:solidFill>
          </w14:textFill>
        </w:rPr>
        <w:t>形成具有职教特色的课程思政教育案例</w:t>
      </w:r>
      <w:r>
        <w:rPr>
          <w:rFonts w:hint="eastAsia" w:ascii="仿宋" w:hAnsi="仿宋" w:eastAsia="仿宋"/>
          <w:color w:val="000000"/>
          <w:sz w:val="32"/>
          <w:szCs w:val="32"/>
        </w:rPr>
        <w:t>。</w:t>
      </w:r>
    </w:p>
    <w:p>
      <w:pPr>
        <w:numPr>
          <w:ilvl w:val="0"/>
          <w:numId w:val="1"/>
        </w:numPr>
        <w:spacing w:line="360" w:lineRule="auto"/>
        <w:ind w:firstLine="643"/>
        <w:rPr>
          <w:rFonts w:ascii="仿宋" w:hAnsi="仿宋" w:eastAsia="仿宋"/>
          <w:b/>
          <w:color w:val="000000"/>
          <w:sz w:val="32"/>
          <w:szCs w:val="32"/>
        </w:rPr>
      </w:pPr>
      <w:r>
        <w:rPr>
          <w:rFonts w:hint="eastAsia" w:ascii="仿宋" w:hAnsi="仿宋" w:eastAsia="仿宋"/>
          <w:b/>
          <w:color w:val="000000"/>
          <w:sz w:val="32"/>
          <w:szCs w:val="32"/>
        </w:rPr>
        <w:t>完善建设研究与宣传示范</w:t>
      </w:r>
    </w:p>
    <w:p>
      <w:pPr>
        <w:widowControl/>
        <w:shd w:val="clear" w:color="auto" w:fill="FFFFFF"/>
        <w:spacing w:line="600" w:lineRule="atLeast"/>
        <w:ind w:firstLine="640"/>
        <w:textAlignment w:val="baseline"/>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加强课程思政教育教学的重点、难点和前瞻性问题的研究，提升课程思政理论研究水平，为推进课程思政教育教学改革提供科研支撑。</w:t>
      </w:r>
      <w:r>
        <w:rPr>
          <w:rFonts w:hint="eastAsia" w:ascii="仿宋" w:hAnsi="仿宋" w:eastAsia="仿宋"/>
          <w:color w:val="000000"/>
          <w:sz w:val="32"/>
          <w:szCs w:val="32"/>
        </w:rPr>
        <w:t>利用校内外宣传渠道，完善学校课程思政微信公众号等新媒体平台，推广课程思政教育教学的先进经验与典型案例，为提升课程思政育人效果提供参考借鉴，形成广泛开展课程思政教育的良好氛围。</w:t>
      </w:r>
    </w:p>
    <w:p>
      <w:pPr>
        <w:widowControl/>
        <w:shd w:val="clear" w:color="auto" w:fill="FFFFFF"/>
        <w:spacing w:line="600" w:lineRule="atLeast"/>
        <w:ind w:firstLine="643"/>
        <w:textAlignment w:val="baseline"/>
        <w:rPr>
          <w:rFonts w:ascii="仿宋" w:hAnsi="仿宋" w:eastAsia="仿宋" w:cs="宋体"/>
          <w:b/>
          <w:color w:val="000000"/>
          <w:kern w:val="0"/>
          <w:sz w:val="32"/>
          <w:szCs w:val="32"/>
          <w:shd w:val="clear" w:color="auto" w:fill="FFFFFF"/>
        </w:rPr>
      </w:pPr>
      <w:r>
        <w:rPr>
          <w:rFonts w:hint="eastAsia" w:ascii="仿宋" w:hAnsi="仿宋" w:eastAsia="仿宋"/>
          <w:b/>
          <w:color w:val="000000"/>
          <w:sz w:val="32"/>
          <w:szCs w:val="32"/>
        </w:rPr>
        <w:t>（三）健全政策保障与条件支持</w:t>
      </w:r>
    </w:p>
    <w:p>
      <w:pPr>
        <w:spacing w:line="360" w:lineRule="auto"/>
        <w:ind w:firstLine="640"/>
        <w:rPr>
          <w:rFonts w:hint="eastAsia" w:ascii="仿宋" w:hAnsi="仿宋" w:eastAsia="仿宋"/>
          <w:b/>
          <w:bCs/>
          <w:sz w:val="32"/>
          <w:szCs w:val="32"/>
        </w:rPr>
      </w:pPr>
      <w:r>
        <w:rPr>
          <w:rFonts w:hint="eastAsia" w:ascii="仿宋" w:hAnsi="仿宋" w:eastAsia="仿宋" w:cs="宋体"/>
          <w:color w:val="000000"/>
          <w:kern w:val="0"/>
          <w:sz w:val="32"/>
          <w:szCs w:val="32"/>
          <w:shd w:val="clear" w:color="auto" w:fill="FFFFFF"/>
        </w:rPr>
        <w:t>健全</w:t>
      </w:r>
      <w:r>
        <w:rPr>
          <w:rFonts w:hint="eastAsia" w:ascii="仿宋" w:hAnsi="仿宋" w:eastAsia="仿宋"/>
          <w:color w:val="000000"/>
          <w:sz w:val="32"/>
          <w:szCs w:val="32"/>
        </w:rPr>
        <w:t>课程思政教育教学成效考核评价体系和监督检查制度，完善课程思政教育优秀案例评价标准，定期遴选课程思政教育优秀案例。把教师参与课程思政教育教学的情况和效果作为年度考核、职称评聘和评优奖励的重要内容。完善学校课程思政资源库平台建设，设立专项经费保障课程思政教育教学工作的开展，对优秀典型案例实施动态管理，并依据考核结果提供经费支持，引领教师创造性地开展工作。</w:t>
      </w:r>
      <w:bookmarkStart w:id="0" w:name="_GoBack"/>
      <w:bookmarkEnd w:id="0"/>
    </w:p>
    <w:p>
      <w:pPr>
        <w:ind w:firstLine="643"/>
        <w:rPr>
          <w:rFonts w:ascii="仿宋" w:hAnsi="仿宋" w:eastAsia="仿宋" w:cs="宋体"/>
          <w:b/>
          <w:color w:val="000000"/>
          <w:kern w:val="0"/>
          <w:sz w:val="32"/>
          <w:szCs w:val="32"/>
        </w:rPr>
      </w:pPr>
      <w:r>
        <w:rPr>
          <w:rFonts w:hint="eastAsia" w:ascii="仿宋" w:hAnsi="仿宋" w:eastAsia="仿宋"/>
          <w:b/>
          <w:bCs/>
          <w:sz w:val="32"/>
          <w:szCs w:val="32"/>
        </w:rPr>
        <w:t>七、</w:t>
      </w:r>
      <w:r>
        <w:rPr>
          <w:rFonts w:hint="eastAsia" w:ascii="仿宋" w:hAnsi="仿宋" w:eastAsia="仿宋" w:cs="宋体"/>
          <w:b/>
          <w:color w:val="000000"/>
          <w:kern w:val="0"/>
          <w:sz w:val="32"/>
          <w:szCs w:val="32"/>
        </w:rPr>
        <w:t>其他</w:t>
      </w:r>
    </w:p>
    <w:p>
      <w:pPr>
        <w:spacing w:line="360" w:lineRule="auto"/>
        <w:ind w:left="-2" w:leftChars="-1" w:firstLine="694" w:firstLineChars="217"/>
        <w:rPr>
          <w:rFonts w:ascii="仿宋" w:hAnsi="仿宋" w:eastAsia="仿宋" w:cs="仿宋"/>
          <w:sz w:val="32"/>
          <w:szCs w:val="32"/>
        </w:rPr>
      </w:pPr>
      <w:r>
        <w:rPr>
          <w:rFonts w:hint="eastAsia" w:ascii="仿宋" w:hAnsi="仿宋" w:eastAsia="仿宋" w:cs="仿宋"/>
          <w:sz w:val="32"/>
          <w:szCs w:val="32"/>
        </w:rPr>
        <w:t>本工作方案由教务处负责解释，自公布之日起执行。</w:t>
      </w:r>
    </w:p>
    <w:p>
      <w:pPr>
        <w:spacing w:line="360" w:lineRule="auto"/>
        <w:ind w:left="0" w:leftChars="0" w:firstLine="0" w:firstLineChars="0"/>
        <w:rPr>
          <w:rFonts w:ascii="仿宋_GB2312" w:hAnsi="仿宋_GB2312" w:eastAsia="仿宋_GB2312" w:cs="仿宋_GB2312"/>
          <w:sz w:val="32"/>
          <w:szCs w:val="32"/>
        </w:rPr>
      </w:pPr>
    </w:p>
    <w:p>
      <w:pPr>
        <w:spacing w:line="360" w:lineRule="auto"/>
        <w:ind w:left="-2" w:leftChars="-1" w:firstLine="694" w:firstLineChars="217"/>
        <w:rPr>
          <w:rFonts w:ascii="仿宋_GB2312" w:hAnsi="仿宋_GB2312" w:eastAsia="仿宋_GB2312" w:cs="仿宋_GB2312"/>
          <w:sz w:val="32"/>
          <w:szCs w:val="32"/>
        </w:rPr>
      </w:pPr>
    </w:p>
    <w:p>
      <w:pPr>
        <w:spacing w:line="360" w:lineRule="auto"/>
        <w:ind w:firstLine="640"/>
        <w:rPr>
          <w:rFonts w:hint="eastAsia" w:ascii="仿宋" w:hAnsi="仿宋" w:eastAsia="仿宋"/>
          <w:color w:val="000000"/>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 w:hAnsi="仿宋" w:eastAsia="仿宋"/>
          <w:color w:val="000000"/>
          <w:sz w:val="32"/>
          <w:szCs w:val="32"/>
          <w:lang w:val="en-US" w:eastAsia="zh-CN"/>
        </w:rPr>
        <w:t xml:space="preserve"> 教务处                               </w:t>
      </w:r>
    </w:p>
    <w:p>
      <w:pPr>
        <w:spacing w:line="360" w:lineRule="auto"/>
        <w:ind w:firstLine="640"/>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 xml:space="preserve">                                  2020年12月</w:t>
      </w:r>
    </w:p>
    <w:p>
      <w:pPr>
        <w:spacing w:line="360" w:lineRule="auto"/>
        <w:ind w:left="-2" w:leftChars="-1" w:firstLine="694" w:firstLineChars="217"/>
        <w:rPr>
          <w:rFonts w:ascii="仿宋" w:hAnsi="仿宋" w:eastAsia="仿宋" w:cs="仿宋"/>
          <w:sz w:val="32"/>
          <w:szCs w:val="32"/>
        </w:rPr>
      </w:pPr>
    </w:p>
    <w:p>
      <w:pPr>
        <w:ind w:right="480" w:firstLine="0" w:firstLineChars="0"/>
        <w:jc w:val="left"/>
        <w:rPr>
          <w:rFonts w:ascii="仿宋_GB2312" w:hAnsi="宋体" w:eastAsia="仿宋_GB2312"/>
          <w:sz w:val="32"/>
          <w:szCs w:val="32"/>
        </w:rPr>
      </w:pPr>
    </w:p>
    <w:p>
      <w:pPr>
        <w:widowControl/>
        <w:shd w:val="clear" w:color="auto" w:fill="FFFFFF"/>
        <w:spacing w:before="210" w:line="480" w:lineRule="atLeast"/>
        <w:ind w:firstLine="0" w:firstLineChars="0"/>
        <w:outlineLvl w:val="0"/>
        <w:rPr>
          <w:rFonts w:hint="eastAsia" w:ascii="仿宋_GB2312" w:hAnsi="宋体" w:eastAsia="仿宋_GB2312" w:cs="仿宋_GB2312"/>
          <w:color w:val="000000"/>
          <w:kern w:val="0"/>
          <w:sz w:val="31"/>
          <w:szCs w:val="31"/>
        </w:rPr>
      </w:pPr>
    </w:p>
    <w:p>
      <w:pPr>
        <w:ind w:right="480" w:firstLine="0" w:firstLineChars="0"/>
        <w:jc w:val="left"/>
        <w:rPr>
          <w:rFonts w:ascii="仿宋_GB2312" w:hAnsi="宋体" w:eastAsia="仿宋_GB2312"/>
          <w:sz w:val="32"/>
          <w:szCs w:val="32"/>
        </w:rPr>
      </w:pPr>
    </w:p>
    <w:sectPr>
      <w:headerReference r:id="rId5" w:type="default"/>
      <w:footerReference r:id="rId6" w:type="default"/>
      <w:pgSz w:w="11906" w:h="16838"/>
      <w:pgMar w:top="1440" w:right="1797" w:bottom="1440" w:left="1797" w:header="851" w:footer="992" w:gutter="0"/>
      <w:cols w:space="425"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moder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embedRegular r:id="rId1" w:fontKey="{2CE7667F-77A4-4166-BF86-098A73EDA3CB}"/>
  </w:font>
  <w:font w:name="方正小标宋简体">
    <w:panose1 w:val="02000000000000000000"/>
    <w:charset w:val="86"/>
    <w:family w:val="script"/>
    <w:pitch w:val="default"/>
    <w:sig w:usb0="00000001" w:usb1="08000000" w:usb2="00000000" w:usb3="00000000" w:csb0="00040000" w:csb1="00000000"/>
    <w:embedRegular r:id="rId2" w:fontKey="{CCC431C7-96A0-45B7-BB80-7493590EC225}"/>
  </w:font>
  <w:font w:name="仿宋_GB2312">
    <w:panose1 w:val="02010609030101010101"/>
    <w:charset w:val="86"/>
    <w:family w:val="modern"/>
    <w:pitch w:val="default"/>
    <w:sig w:usb0="00000001" w:usb1="080E0000" w:usb2="00000000" w:usb3="00000000" w:csb0="00040000" w:csb1="00000000"/>
    <w:embedRegular r:id="rId3" w:fontKey="{71F31948-77D7-48BA-9198-75CC92A2EC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rPr>
        <w:rStyle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74FA98"/>
    <w:multiLevelType w:val="singleLevel"/>
    <w:tmpl w:val="4274FA9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1ODIwNjU0NGQxN2FjNmEwZmM3YjEyOTk1MTEyMTMifQ=="/>
  </w:docVars>
  <w:rsids>
    <w:rsidRoot w:val="00BE320F"/>
    <w:rsid w:val="000151C1"/>
    <w:rsid w:val="00022133"/>
    <w:rsid w:val="00036266"/>
    <w:rsid w:val="00046A34"/>
    <w:rsid w:val="0005504E"/>
    <w:rsid w:val="00070057"/>
    <w:rsid w:val="000D27FE"/>
    <w:rsid w:val="000D4251"/>
    <w:rsid w:val="000D43E3"/>
    <w:rsid w:val="000F62AB"/>
    <w:rsid w:val="00102AD4"/>
    <w:rsid w:val="0011086B"/>
    <w:rsid w:val="00131F33"/>
    <w:rsid w:val="001353DD"/>
    <w:rsid w:val="001353EA"/>
    <w:rsid w:val="00147BD6"/>
    <w:rsid w:val="001539B5"/>
    <w:rsid w:val="00161975"/>
    <w:rsid w:val="001766DC"/>
    <w:rsid w:val="00184123"/>
    <w:rsid w:val="001A4798"/>
    <w:rsid w:val="001A5252"/>
    <w:rsid w:val="001A6089"/>
    <w:rsid w:val="001A75AD"/>
    <w:rsid w:val="001B4859"/>
    <w:rsid w:val="001B5900"/>
    <w:rsid w:val="001B614E"/>
    <w:rsid w:val="001B62AD"/>
    <w:rsid w:val="001C3557"/>
    <w:rsid w:val="001D4948"/>
    <w:rsid w:val="001F74B2"/>
    <w:rsid w:val="002049DD"/>
    <w:rsid w:val="00217404"/>
    <w:rsid w:val="0022491A"/>
    <w:rsid w:val="002266DC"/>
    <w:rsid w:val="00231D4C"/>
    <w:rsid w:val="00232D21"/>
    <w:rsid w:val="00240285"/>
    <w:rsid w:val="0024398B"/>
    <w:rsid w:val="00253EC0"/>
    <w:rsid w:val="00257055"/>
    <w:rsid w:val="0028145B"/>
    <w:rsid w:val="0029508A"/>
    <w:rsid w:val="00297BC8"/>
    <w:rsid w:val="002A599B"/>
    <w:rsid w:val="002B0911"/>
    <w:rsid w:val="002C70D0"/>
    <w:rsid w:val="002D231D"/>
    <w:rsid w:val="002D2E97"/>
    <w:rsid w:val="002D443D"/>
    <w:rsid w:val="003079FE"/>
    <w:rsid w:val="00317412"/>
    <w:rsid w:val="0033263A"/>
    <w:rsid w:val="0034630B"/>
    <w:rsid w:val="00350849"/>
    <w:rsid w:val="0035517D"/>
    <w:rsid w:val="00370CD4"/>
    <w:rsid w:val="003735A9"/>
    <w:rsid w:val="00376A22"/>
    <w:rsid w:val="0038132F"/>
    <w:rsid w:val="00381F81"/>
    <w:rsid w:val="00391F57"/>
    <w:rsid w:val="00397308"/>
    <w:rsid w:val="003A7BC2"/>
    <w:rsid w:val="003B67BF"/>
    <w:rsid w:val="003C0E5A"/>
    <w:rsid w:val="003D2116"/>
    <w:rsid w:val="003D26FA"/>
    <w:rsid w:val="003D57EE"/>
    <w:rsid w:val="003E53AD"/>
    <w:rsid w:val="003E5642"/>
    <w:rsid w:val="004041F7"/>
    <w:rsid w:val="00404427"/>
    <w:rsid w:val="00432E8E"/>
    <w:rsid w:val="00435149"/>
    <w:rsid w:val="00455187"/>
    <w:rsid w:val="004561C0"/>
    <w:rsid w:val="004651FD"/>
    <w:rsid w:val="00466859"/>
    <w:rsid w:val="004738C6"/>
    <w:rsid w:val="00475723"/>
    <w:rsid w:val="00484FBD"/>
    <w:rsid w:val="004A289B"/>
    <w:rsid w:val="004A2B51"/>
    <w:rsid w:val="004B02E9"/>
    <w:rsid w:val="004B0628"/>
    <w:rsid w:val="004B1F77"/>
    <w:rsid w:val="004B5E21"/>
    <w:rsid w:val="004C4CC5"/>
    <w:rsid w:val="004C5FA7"/>
    <w:rsid w:val="004E4247"/>
    <w:rsid w:val="0052191E"/>
    <w:rsid w:val="00521A0A"/>
    <w:rsid w:val="00523CB6"/>
    <w:rsid w:val="0053788D"/>
    <w:rsid w:val="005541CC"/>
    <w:rsid w:val="0055504E"/>
    <w:rsid w:val="005567B0"/>
    <w:rsid w:val="00557917"/>
    <w:rsid w:val="00566E2F"/>
    <w:rsid w:val="00576B48"/>
    <w:rsid w:val="005771B2"/>
    <w:rsid w:val="00580B01"/>
    <w:rsid w:val="00592403"/>
    <w:rsid w:val="005A5B2A"/>
    <w:rsid w:val="005B44E6"/>
    <w:rsid w:val="005B4DEF"/>
    <w:rsid w:val="005C4C5B"/>
    <w:rsid w:val="005D5E0A"/>
    <w:rsid w:val="005E139F"/>
    <w:rsid w:val="005E367C"/>
    <w:rsid w:val="00604A35"/>
    <w:rsid w:val="00623F17"/>
    <w:rsid w:val="00627E61"/>
    <w:rsid w:val="00630A0B"/>
    <w:rsid w:val="00641FA4"/>
    <w:rsid w:val="00650684"/>
    <w:rsid w:val="00672AC5"/>
    <w:rsid w:val="00675411"/>
    <w:rsid w:val="00680A44"/>
    <w:rsid w:val="006A3309"/>
    <w:rsid w:val="006A3330"/>
    <w:rsid w:val="006D491F"/>
    <w:rsid w:val="006D592E"/>
    <w:rsid w:val="006F3908"/>
    <w:rsid w:val="007107CD"/>
    <w:rsid w:val="007142BC"/>
    <w:rsid w:val="00733808"/>
    <w:rsid w:val="0073422D"/>
    <w:rsid w:val="007412FE"/>
    <w:rsid w:val="007446F2"/>
    <w:rsid w:val="00751841"/>
    <w:rsid w:val="00752243"/>
    <w:rsid w:val="00757001"/>
    <w:rsid w:val="00766D89"/>
    <w:rsid w:val="00772C23"/>
    <w:rsid w:val="00773645"/>
    <w:rsid w:val="00790BD1"/>
    <w:rsid w:val="007914C3"/>
    <w:rsid w:val="00795F33"/>
    <w:rsid w:val="007B3096"/>
    <w:rsid w:val="007B4A9A"/>
    <w:rsid w:val="007C32AE"/>
    <w:rsid w:val="007D401B"/>
    <w:rsid w:val="007E0F05"/>
    <w:rsid w:val="007F557D"/>
    <w:rsid w:val="007F7283"/>
    <w:rsid w:val="00811733"/>
    <w:rsid w:val="0082032F"/>
    <w:rsid w:val="00823AD1"/>
    <w:rsid w:val="00835444"/>
    <w:rsid w:val="00837B7C"/>
    <w:rsid w:val="00845C8D"/>
    <w:rsid w:val="00852040"/>
    <w:rsid w:val="00853750"/>
    <w:rsid w:val="00855336"/>
    <w:rsid w:val="00855CDD"/>
    <w:rsid w:val="00867A81"/>
    <w:rsid w:val="00867B14"/>
    <w:rsid w:val="00871EF8"/>
    <w:rsid w:val="00881189"/>
    <w:rsid w:val="008932F5"/>
    <w:rsid w:val="008A7891"/>
    <w:rsid w:val="008B08E7"/>
    <w:rsid w:val="008B50F0"/>
    <w:rsid w:val="008B623B"/>
    <w:rsid w:val="008D1605"/>
    <w:rsid w:val="008E18DB"/>
    <w:rsid w:val="008E3EED"/>
    <w:rsid w:val="008E6CD4"/>
    <w:rsid w:val="008F0892"/>
    <w:rsid w:val="00901A52"/>
    <w:rsid w:val="00912C98"/>
    <w:rsid w:val="009427E9"/>
    <w:rsid w:val="00942F1B"/>
    <w:rsid w:val="00983B79"/>
    <w:rsid w:val="00984861"/>
    <w:rsid w:val="0098512D"/>
    <w:rsid w:val="00985F28"/>
    <w:rsid w:val="00994AB6"/>
    <w:rsid w:val="009D03AA"/>
    <w:rsid w:val="009D391B"/>
    <w:rsid w:val="009F67AC"/>
    <w:rsid w:val="009F6D1C"/>
    <w:rsid w:val="00A04FD0"/>
    <w:rsid w:val="00A13B7C"/>
    <w:rsid w:val="00A14202"/>
    <w:rsid w:val="00A27715"/>
    <w:rsid w:val="00A34830"/>
    <w:rsid w:val="00A63F4B"/>
    <w:rsid w:val="00A739FA"/>
    <w:rsid w:val="00A73CC8"/>
    <w:rsid w:val="00A92661"/>
    <w:rsid w:val="00AB018F"/>
    <w:rsid w:val="00AB52C2"/>
    <w:rsid w:val="00AC3969"/>
    <w:rsid w:val="00AC3B27"/>
    <w:rsid w:val="00AD4AA0"/>
    <w:rsid w:val="00AE0E5A"/>
    <w:rsid w:val="00AE3F4F"/>
    <w:rsid w:val="00AE464C"/>
    <w:rsid w:val="00B10F94"/>
    <w:rsid w:val="00B1549D"/>
    <w:rsid w:val="00B20838"/>
    <w:rsid w:val="00B2722E"/>
    <w:rsid w:val="00B30359"/>
    <w:rsid w:val="00B44A7D"/>
    <w:rsid w:val="00B7501F"/>
    <w:rsid w:val="00B92C97"/>
    <w:rsid w:val="00BD35ED"/>
    <w:rsid w:val="00BD5063"/>
    <w:rsid w:val="00BD5CFD"/>
    <w:rsid w:val="00BE1894"/>
    <w:rsid w:val="00BE320F"/>
    <w:rsid w:val="00BE5E53"/>
    <w:rsid w:val="00BE6E5E"/>
    <w:rsid w:val="00BF5C85"/>
    <w:rsid w:val="00BF704C"/>
    <w:rsid w:val="00C061A8"/>
    <w:rsid w:val="00C2109D"/>
    <w:rsid w:val="00C44E4A"/>
    <w:rsid w:val="00C56669"/>
    <w:rsid w:val="00C60A5E"/>
    <w:rsid w:val="00C64E36"/>
    <w:rsid w:val="00C65436"/>
    <w:rsid w:val="00C65E2F"/>
    <w:rsid w:val="00C7033A"/>
    <w:rsid w:val="00C91D3F"/>
    <w:rsid w:val="00C93D94"/>
    <w:rsid w:val="00CB4E3A"/>
    <w:rsid w:val="00CC1F61"/>
    <w:rsid w:val="00CC55AB"/>
    <w:rsid w:val="00CF2AEE"/>
    <w:rsid w:val="00CF7438"/>
    <w:rsid w:val="00D05AD5"/>
    <w:rsid w:val="00D06026"/>
    <w:rsid w:val="00D06B40"/>
    <w:rsid w:val="00D143AD"/>
    <w:rsid w:val="00D70D61"/>
    <w:rsid w:val="00D8386E"/>
    <w:rsid w:val="00D92C2F"/>
    <w:rsid w:val="00DA19F9"/>
    <w:rsid w:val="00DA477B"/>
    <w:rsid w:val="00DB235E"/>
    <w:rsid w:val="00DB71D8"/>
    <w:rsid w:val="00DC68C8"/>
    <w:rsid w:val="00DC72D3"/>
    <w:rsid w:val="00DC75CB"/>
    <w:rsid w:val="00DD04F0"/>
    <w:rsid w:val="00DD333F"/>
    <w:rsid w:val="00DE1460"/>
    <w:rsid w:val="00DF586C"/>
    <w:rsid w:val="00DF75CD"/>
    <w:rsid w:val="00E026A3"/>
    <w:rsid w:val="00E0721F"/>
    <w:rsid w:val="00E22FE8"/>
    <w:rsid w:val="00E438D4"/>
    <w:rsid w:val="00E44B18"/>
    <w:rsid w:val="00E45EC1"/>
    <w:rsid w:val="00E56D07"/>
    <w:rsid w:val="00E57A33"/>
    <w:rsid w:val="00E644C5"/>
    <w:rsid w:val="00E71813"/>
    <w:rsid w:val="00E80294"/>
    <w:rsid w:val="00E806E3"/>
    <w:rsid w:val="00E8603E"/>
    <w:rsid w:val="00E93EF4"/>
    <w:rsid w:val="00E949AD"/>
    <w:rsid w:val="00EB30EE"/>
    <w:rsid w:val="00EC64AF"/>
    <w:rsid w:val="00EC7B6C"/>
    <w:rsid w:val="00ED7F0B"/>
    <w:rsid w:val="00EE3AEB"/>
    <w:rsid w:val="00EF346D"/>
    <w:rsid w:val="00F01B1F"/>
    <w:rsid w:val="00F1170C"/>
    <w:rsid w:val="00F21B57"/>
    <w:rsid w:val="00F33B1E"/>
    <w:rsid w:val="00F6488A"/>
    <w:rsid w:val="00F66E54"/>
    <w:rsid w:val="00F81035"/>
    <w:rsid w:val="00F8359C"/>
    <w:rsid w:val="00F8790F"/>
    <w:rsid w:val="00F93DC1"/>
    <w:rsid w:val="00FA5A24"/>
    <w:rsid w:val="00FC0456"/>
    <w:rsid w:val="00FC4B61"/>
    <w:rsid w:val="00FC670E"/>
    <w:rsid w:val="00FD0700"/>
    <w:rsid w:val="00FE2922"/>
    <w:rsid w:val="00FE3C74"/>
    <w:rsid w:val="00FE6CC1"/>
    <w:rsid w:val="02635FE6"/>
    <w:rsid w:val="02A00FF1"/>
    <w:rsid w:val="03BA4F03"/>
    <w:rsid w:val="059E7C9C"/>
    <w:rsid w:val="08DF178D"/>
    <w:rsid w:val="0A822AC9"/>
    <w:rsid w:val="0BA63302"/>
    <w:rsid w:val="0D16487F"/>
    <w:rsid w:val="0DF74B23"/>
    <w:rsid w:val="0E532404"/>
    <w:rsid w:val="12C94C12"/>
    <w:rsid w:val="164C4E8A"/>
    <w:rsid w:val="16D73273"/>
    <w:rsid w:val="17830659"/>
    <w:rsid w:val="19832ED4"/>
    <w:rsid w:val="1991777E"/>
    <w:rsid w:val="1A1B5660"/>
    <w:rsid w:val="1A732F49"/>
    <w:rsid w:val="1B920372"/>
    <w:rsid w:val="1BC81072"/>
    <w:rsid w:val="1CA4265D"/>
    <w:rsid w:val="1D77422E"/>
    <w:rsid w:val="1E6D278D"/>
    <w:rsid w:val="208714FC"/>
    <w:rsid w:val="22AA5BC1"/>
    <w:rsid w:val="24D11354"/>
    <w:rsid w:val="26145B41"/>
    <w:rsid w:val="26C24472"/>
    <w:rsid w:val="27607185"/>
    <w:rsid w:val="27FE35E3"/>
    <w:rsid w:val="28D66400"/>
    <w:rsid w:val="290023FB"/>
    <w:rsid w:val="2AA1282F"/>
    <w:rsid w:val="2B016BBF"/>
    <w:rsid w:val="2B85488A"/>
    <w:rsid w:val="2C282BF9"/>
    <w:rsid w:val="2C7D1479"/>
    <w:rsid w:val="2CDE24A4"/>
    <w:rsid w:val="2E630CB7"/>
    <w:rsid w:val="2E7745D6"/>
    <w:rsid w:val="2EEE7A01"/>
    <w:rsid w:val="2FF80EF4"/>
    <w:rsid w:val="30D02A59"/>
    <w:rsid w:val="32546394"/>
    <w:rsid w:val="328153EA"/>
    <w:rsid w:val="33154F4A"/>
    <w:rsid w:val="333512C9"/>
    <w:rsid w:val="35913FBB"/>
    <w:rsid w:val="36C94D6E"/>
    <w:rsid w:val="383733B0"/>
    <w:rsid w:val="395D1D28"/>
    <w:rsid w:val="3A323553"/>
    <w:rsid w:val="3A7766C7"/>
    <w:rsid w:val="3A971ABC"/>
    <w:rsid w:val="3ACE216B"/>
    <w:rsid w:val="3B4D37D7"/>
    <w:rsid w:val="3C44091E"/>
    <w:rsid w:val="3CA56B3A"/>
    <w:rsid w:val="3D5F5B26"/>
    <w:rsid w:val="3E035A30"/>
    <w:rsid w:val="3E483E03"/>
    <w:rsid w:val="40175FA1"/>
    <w:rsid w:val="41434B73"/>
    <w:rsid w:val="43C901B0"/>
    <w:rsid w:val="44727D30"/>
    <w:rsid w:val="451906CE"/>
    <w:rsid w:val="451C1963"/>
    <w:rsid w:val="46F47A2F"/>
    <w:rsid w:val="479F09BE"/>
    <w:rsid w:val="48340AEC"/>
    <w:rsid w:val="49BA174B"/>
    <w:rsid w:val="49ED08FF"/>
    <w:rsid w:val="4A124451"/>
    <w:rsid w:val="4A72248A"/>
    <w:rsid w:val="4A834BFD"/>
    <w:rsid w:val="4BB42C93"/>
    <w:rsid w:val="4D7B69B5"/>
    <w:rsid w:val="4DDF1CAE"/>
    <w:rsid w:val="50324731"/>
    <w:rsid w:val="50C431DE"/>
    <w:rsid w:val="51F373B9"/>
    <w:rsid w:val="520218F8"/>
    <w:rsid w:val="524A4EC1"/>
    <w:rsid w:val="52CF2705"/>
    <w:rsid w:val="55070E05"/>
    <w:rsid w:val="55641794"/>
    <w:rsid w:val="56B00568"/>
    <w:rsid w:val="56BC27BD"/>
    <w:rsid w:val="586B4D4E"/>
    <w:rsid w:val="59B35542"/>
    <w:rsid w:val="5A2E09F4"/>
    <w:rsid w:val="5C07081F"/>
    <w:rsid w:val="5C89681C"/>
    <w:rsid w:val="5D320DA7"/>
    <w:rsid w:val="5D5D7866"/>
    <w:rsid w:val="5D676756"/>
    <w:rsid w:val="5F560934"/>
    <w:rsid w:val="601B0D3D"/>
    <w:rsid w:val="64223F56"/>
    <w:rsid w:val="644527EA"/>
    <w:rsid w:val="65B03CD6"/>
    <w:rsid w:val="68012F0F"/>
    <w:rsid w:val="6893689B"/>
    <w:rsid w:val="69C75A92"/>
    <w:rsid w:val="6A641533"/>
    <w:rsid w:val="6A9F32D9"/>
    <w:rsid w:val="6B6362B3"/>
    <w:rsid w:val="6F1E2564"/>
    <w:rsid w:val="6F920CE0"/>
    <w:rsid w:val="6FDF79DD"/>
    <w:rsid w:val="713B3F22"/>
    <w:rsid w:val="71ED1E0E"/>
    <w:rsid w:val="72153666"/>
    <w:rsid w:val="72BD3D73"/>
    <w:rsid w:val="742C3D60"/>
    <w:rsid w:val="742F2BB2"/>
    <w:rsid w:val="74B133B5"/>
    <w:rsid w:val="75C64E50"/>
    <w:rsid w:val="76616902"/>
    <w:rsid w:val="76B94B5B"/>
    <w:rsid w:val="772E53A2"/>
    <w:rsid w:val="774050A4"/>
    <w:rsid w:val="7B4022ED"/>
    <w:rsid w:val="7D2657F7"/>
    <w:rsid w:val="7DE15768"/>
    <w:rsid w:val="7E0B4041"/>
    <w:rsid w:val="7EFA5B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paragraph" w:styleId="3">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4"/>
    <w:qFormat/>
    <w:uiPriority w:val="0"/>
    <w:pPr>
      <w:spacing w:after="120"/>
      <w:ind w:firstLine="0" w:firstLineChars="0"/>
    </w:pPr>
  </w:style>
  <w:style w:type="paragraph" w:styleId="5">
    <w:name w:val="Body Text Indent"/>
    <w:basedOn w:val="1"/>
    <w:link w:val="22"/>
    <w:qFormat/>
    <w:uiPriority w:val="0"/>
    <w:pPr>
      <w:widowControl/>
      <w:spacing w:before="100" w:beforeAutospacing="1" w:after="100" w:afterAutospacing="1" w:line="336" w:lineRule="auto"/>
      <w:ind w:firstLine="0" w:firstLineChars="0"/>
      <w:jc w:val="left"/>
    </w:pPr>
    <w:rPr>
      <w:rFonts w:ascii="ˎ̥" w:hAnsi="ˎ̥" w:cs="宋体"/>
      <w:kern w:val="0"/>
      <w:sz w:val="22"/>
      <w:szCs w:val="22"/>
    </w:rPr>
  </w:style>
  <w:style w:type="paragraph" w:styleId="6">
    <w:name w:val="Date"/>
    <w:basedOn w:val="1"/>
    <w:next w:val="1"/>
    <w:link w:val="20"/>
    <w:unhideWhenUsed/>
    <w:qFormat/>
    <w:uiPriority w:val="99"/>
    <w:pPr>
      <w:ind w:left="100" w:leftChars="2500"/>
    </w:pPr>
  </w:style>
  <w:style w:type="paragraph" w:styleId="7">
    <w:name w:val="Body Text Indent 2"/>
    <w:basedOn w:val="1"/>
    <w:link w:val="25"/>
    <w:qFormat/>
    <w:uiPriority w:val="0"/>
    <w:pPr>
      <w:spacing w:after="120" w:line="480" w:lineRule="auto"/>
      <w:ind w:left="420" w:leftChars="200" w:firstLine="0" w:firstLineChars="0"/>
    </w:pPr>
  </w:style>
  <w:style w:type="paragraph" w:styleId="8">
    <w:name w:val="Balloon Text"/>
    <w:basedOn w:val="1"/>
    <w:link w:val="19"/>
    <w:semiHidden/>
    <w:unhideWhenUsed/>
    <w:qFormat/>
    <w:uiPriority w:val="99"/>
    <w:rPr>
      <w:sz w:val="18"/>
      <w:szCs w:val="18"/>
    </w:rPr>
  </w:style>
  <w:style w:type="paragraph" w:styleId="9">
    <w:name w:val="footer"/>
    <w:basedOn w:val="1"/>
    <w:link w:val="18"/>
    <w:semiHidden/>
    <w:unhideWhenUsed/>
    <w:qFormat/>
    <w:uiPriority w:val="99"/>
    <w:pPr>
      <w:tabs>
        <w:tab w:val="center" w:pos="4153"/>
        <w:tab w:val="right" w:pos="8306"/>
      </w:tabs>
      <w:snapToGrid w:val="0"/>
      <w:jc w:val="left"/>
    </w:pPr>
    <w:rPr>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4"/>
    <w:link w:val="26"/>
    <w:unhideWhenUsed/>
    <w:qFormat/>
    <w:uiPriority w:val="99"/>
    <w:pPr>
      <w:ind w:firstLine="420" w:firstLineChars="100"/>
    </w:p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Hyperlink"/>
    <w:basedOn w:val="14"/>
    <w:unhideWhenUsed/>
    <w:qFormat/>
    <w:uiPriority w:val="99"/>
    <w:rPr>
      <w:color w:val="0000FF" w:themeColor="hyperlink"/>
      <w:u w:val="single"/>
      <w14:textFill>
        <w14:solidFill>
          <w14:schemeClr w14:val="hlink"/>
        </w14:solidFill>
      </w14:textFill>
    </w:rPr>
  </w:style>
  <w:style w:type="character" w:customStyle="1" w:styleId="17">
    <w:name w:val="页眉 Char"/>
    <w:basedOn w:val="14"/>
    <w:link w:val="10"/>
    <w:qFormat/>
    <w:uiPriority w:val="99"/>
    <w:rPr>
      <w:rFonts w:ascii="Times New Roman" w:hAnsi="Times New Roman" w:eastAsia="宋体" w:cs="Times New Roman"/>
      <w:sz w:val="18"/>
      <w:szCs w:val="18"/>
    </w:rPr>
  </w:style>
  <w:style w:type="character" w:customStyle="1" w:styleId="18">
    <w:name w:val="页脚 Char"/>
    <w:basedOn w:val="14"/>
    <w:link w:val="9"/>
    <w:semiHidden/>
    <w:qFormat/>
    <w:uiPriority w:val="99"/>
    <w:rPr>
      <w:rFonts w:ascii="Times New Roman" w:hAnsi="Times New Roman" w:eastAsia="宋体" w:cs="Times New Roman"/>
      <w:sz w:val="18"/>
      <w:szCs w:val="18"/>
    </w:rPr>
  </w:style>
  <w:style w:type="character" w:customStyle="1" w:styleId="19">
    <w:name w:val="批注框文本 Char"/>
    <w:basedOn w:val="14"/>
    <w:link w:val="8"/>
    <w:semiHidden/>
    <w:qFormat/>
    <w:uiPriority w:val="99"/>
    <w:rPr>
      <w:rFonts w:ascii="Times New Roman" w:hAnsi="Times New Roman" w:eastAsia="宋体" w:cs="Times New Roman"/>
      <w:sz w:val="18"/>
      <w:szCs w:val="18"/>
    </w:rPr>
  </w:style>
  <w:style w:type="character" w:customStyle="1" w:styleId="20">
    <w:name w:val="日期 Char"/>
    <w:basedOn w:val="14"/>
    <w:link w:val="6"/>
    <w:semiHidden/>
    <w:qFormat/>
    <w:uiPriority w:val="99"/>
    <w:rPr>
      <w:rFonts w:ascii="Times New Roman" w:hAnsi="Times New Roman" w:eastAsia="宋体" w:cs="Times New Roman"/>
      <w:szCs w:val="24"/>
    </w:rPr>
  </w:style>
  <w:style w:type="character" w:customStyle="1" w:styleId="21">
    <w:name w:val="不明显强调1"/>
    <w:basedOn w:val="14"/>
    <w:qFormat/>
    <w:uiPriority w:val="19"/>
    <w:rPr>
      <w:i/>
      <w:iCs/>
      <w:color w:val="808080" w:themeColor="text1" w:themeTint="80"/>
      <w14:textFill>
        <w14:solidFill>
          <w14:schemeClr w14:val="tx1">
            <w14:lumMod w14:val="50000"/>
            <w14:lumOff w14:val="50000"/>
          </w14:schemeClr>
        </w14:solidFill>
      </w14:textFill>
    </w:rPr>
  </w:style>
  <w:style w:type="character" w:customStyle="1" w:styleId="22">
    <w:name w:val="正文文本缩进 Char"/>
    <w:basedOn w:val="14"/>
    <w:link w:val="5"/>
    <w:qFormat/>
    <w:uiPriority w:val="0"/>
    <w:rPr>
      <w:rFonts w:ascii="ˎ̥" w:hAnsi="ˎ̥" w:cs="宋体"/>
      <w:sz w:val="22"/>
      <w:szCs w:val="22"/>
    </w:rPr>
  </w:style>
  <w:style w:type="character" w:customStyle="1" w:styleId="23">
    <w:name w:val="正文文本 Char"/>
    <w:basedOn w:val="14"/>
    <w:link w:val="4"/>
    <w:semiHidden/>
    <w:qFormat/>
    <w:uiPriority w:val="99"/>
    <w:rPr>
      <w:kern w:val="2"/>
      <w:sz w:val="21"/>
      <w:szCs w:val="24"/>
    </w:rPr>
  </w:style>
  <w:style w:type="character" w:customStyle="1" w:styleId="24">
    <w:name w:val="正文文本 Char1"/>
    <w:link w:val="4"/>
    <w:qFormat/>
    <w:uiPriority w:val="0"/>
    <w:rPr>
      <w:kern w:val="2"/>
      <w:sz w:val="21"/>
      <w:szCs w:val="24"/>
    </w:rPr>
  </w:style>
  <w:style w:type="character" w:customStyle="1" w:styleId="25">
    <w:name w:val="正文文本缩进 2 Char"/>
    <w:basedOn w:val="14"/>
    <w:link w:val="7"/>
    <w:qFormat/>
    <w:uiPriority w:val="0"/>
    <w:rPr>
      <w:kern w:val="2"/>
      <w:sz w:val="21"/>
      <w:szCs w:val="24"/>
    </w:rPr>
  </w:style>
  <w:style w:type="character" w:customStyle="1" w:styleId="26">
    <w:name w:val="正文首行缩进 Char"/>
    <w:basedOn w:val="24"/>
    <w:link w:val="11"/>
    <w:qFormat/>
    <w:uiPriority w:val="99"/>
  </w:style>
  <w:style w:type="table" w:customStyle="1" w:styleId="27">
    <w:name w:val="网格型1"/>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412AD-1F67-40B9-8F7C-0082D0B925B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2415</Words>
  <Characters>2492</Characters>
  <Lines>33</Lines>
  <Paragraphs>9</Paragraphs>
  <TotalTime>2</TotalTime>
  <ScaleCrop>false</ScaleCrop>
  <LinksUpToDate>false</LinksUpToDate>
  <CharactersWithSpaces>2593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2021-12-02T09:12:00Z</dcterms:created>
  <dc:creator>Sky123.Org</dc:creator>
  <cp:lastModifiedBy>鼓鼓包子</cp:lastModifiedBy>
  <cp:lastPrinted>2023-03-30T02:08:00Z</cp:lastPrinted>
  <dcterms:modified xsi:type="dcterms:W3CDTF">2023-03-31T10:12:56Z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10A0E93293D5474B9517447FDC455FF1</vt:lpwstr>
  </property>
</Properties>
</file>